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DBA" w:rsidRPr="005E1271" w:rsidRDefault="00E73DBA" w:rsidP="005E1271">
      <w:pPr>
        <w:spacing w:line="240" w:lineRule="exact"/>
        <w:rPr>
          <w:rFonts w:ascii="微软雅黑" w:eastAsia="微软雅黑" w:hAnsi="微软雅黑" w:cs="宋体"/>
          <w:sz w:val="22"/>
          <w:szCs w:val="22"/>
        </w:rPr>
      </w:pPr>
    </w:p>
    <w:p w:rsidR="00E73DBA" w:rsidRPr="005E1271" w:rsidRDefault="005F465B" w:rsidP="005E1271">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公共场所卫生管理条例"/>
      <w:bookmarkEnd w:id="0"/>
      <w:r w:rsidRPr="005E1271">
        <w:rPr>
          <w:rFonts w:ascii="微软雅黑" w:eastAsia="微软雅黑" w:hAnsi="微软雅黑" w:cs="方正小标宋简体" w:hint="eastAsia"/>
          <w:b/>
          <w:color w:val="333333"/>
          <w:sz w:val="40"/>
          <w:szCs w:val="40"/>
          <w:shd w:val="clear" w:color="auto" w:fill="FFFFFF"/>
        </w:rPr>
        <w:t>公共场所卫生管理条例</w:t>
      </w:r>
    </w:p>
    <w:p w:rsidR="00E73DBA" w:rsidRDefault="00E73DBA" w:rsidP="005E1271">
      <w:pPr>
        <w:spacing w:line="240" w:lineRule="exact"/>
        <w:rPr>
          <w:rFonts w:ascii="微软雅黑" w:eastAsia="微软雅黑" w:hAnsi="微软雅黑" w:cs="宋体" w:hint="eastAsia"/>
          <w:sz w:val="22"/>
          <w:szCs w:val="22"/>
        </w:rPr>
      </w:pPr>
    </w:p>
    <w:p w:rsidR="005E1271" w:rsidRDefault="005E1271" w:rsidP="005E1271">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5E1271" w:rsidRPr="005E1271" w:rsidRDefault="005E1271" w:rsidP="005E1271">
      <w:pPr>
        <w:spacing w:line="240" w:lineRule="exact"/>
        <w:rPr>
          <w:rFonts w:ascii="微软雅黑" w:eastAsia="微软雅黑" w:hAnsi="微软雅黑" w:cs="宋体"/>
          <w:sz w:val="22"/>
          <w:szCs w:val="22"/>
        </w:rPr>
      </w:pPr>
    </w:p>
    <w:p w:rsidR="00E73DBA" w:rsidRPr="005E1271" w:rsidRDefault="005F465B" w:rsidP="005E1271">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5E1271">
        <w:rPr>
          <w:rFonts w:ascii="微软雅黑" w:eastAsia="微软雅黑" w:hAnsi="微软雅黑" w:cs="楷体_GB2312" w:hint="eastAsia"/>
          <w:bCs/>
          <w:sz w:val="21"/>
          <w:szCs w:val="21"/>
          <w:shd w:val="clear" w:color="auto" w:fill="FFFFFF"/>
        </w:rPr>
        <w:t>（</w:t>
      </w:r>
      <w:r w:rsidRPr="005E1271">
        <w:rPr>
          <w:rFonts w:ascii="微软雅黑" w:eastAsia="微软雅黑" w:hAnsi="微软雅黑" w:cs="楷体_GB2312" w:hint="eastAsia"/>
          <w:bCs/>
          <w:sz w:val="21"/>
          <w:szCs w:val="21"/>
          <w:shd w:val="clear" w:color="auto" w:fill="FFFFFF"/>
        </w:rPr>
        <w:t>1987</w:t>
      </w:r>
      <w:r w:rsidRPr="005E1271">
        <w:rPr>
          <w:rFonts w:ascii="微软雅黑" w:eastAsia="微软雅黑" w:hAnsi="微软雅黑" w:cs="楷体_GB2312" w:hint="eastAsia"/>
          <w:bCs/>
          <w:sz w:val="21"/>
          <w:szCs w:val="21"/>
          <w:shd w:val="clear" w:color="auto" w:fill="FFFFFF"/>
        </w:rPr>
        <w:t>年</w:t>
      </w:r>
      <w:r w:rsidRPr="005E1271">
        <w:rPr>
          <w:rFonts w:ascii="微软雅黑" w:eastAsia="微软雅黑" w:hAnsi="微软雅黑" w:cs="楷体_GB2312" w:hint="eastAsia"/>
          <w:bCs/>
          <w:sz w:val="21"/>
          <w:szCs w:val="21"/>
          <w:shd w:val="clear" w:color="auto" w:fill="FFFFFF"/>
        </w:rPr>
        <w:t>4</w:t>
      </w:r>
      <w:r w:rsidRPr="005E1271">
        <w:rPr>
          <w:rFonts w:ascii="微软雅黑" w:eastAsia="微软雅黑" w:hAnsi="微软雅黑" w:cs="楷体_GB2312" w:hint="eastAsia"/>
          <w:bCs/>
          <w:sz w:val="21"/>
          <w:szCs w:val="21"/>
          <w:shd w:val="clear" w:color="auto" w:fill="FFFFFF"/>
        </w:rPr>
        <w:t>月</w:t>
      </w:r>
      <w:r w:rsidRPr="005E1271">
        <w:rPr>
          <w:rFonts w:ascii="微软雅黑" w:eastAsia="微软雅黑" w:hAnsi="微软雅黑" w:cs="楷体_GB2312" w:hint="eastAsia"/>
          <w:bCs/>
          <w:sz w:val="21"/>
          <w:szCs w:val="21"/>
          <w:shd w:val="clear" w:color="auto" w:fill="FFFFFF"/>
        </w:rPr>
        <w:t>1</w:t>
      </w:r>
      <w:r w:rsidRPr="005E1271">
        <w:rPr>
          <w:rFonts w:ascii="微软雅黑" w:eastAsia="微软雅黑" w:hAnsi="微软雅黑" w:cs="楷体_GB2312" w:hint="eastAsia"/>
          <w:bCs/>
          <w:sz w:val="21"/>
          <w:szCs w:val="21"/>
          <w:shd w:val="clear" w:color="auto" w:fill="FFFFFF"/>
        </w:rPr>
        <w:t>日国务院发布　根据</w:t>
      </w:r>
      <w:r w:rsidRPr="005E1271">
        <w:rPr>
          <w:rFonts w:ascii="微软雅黑" w:eastAsia="微软雅黑" w:hAnsi="微软雅黑" w:cs="楷体_GB2312" w:hint="eastAsia"/>
          <w:bCs/>
          <w:sz w:val="21"/>
          <w:szCs w:val="21"/>
          <w:shd w:val="clear" w:color="auto" w:fill="FFFFFF"/>
        </w:rPr>
        <w:t>2016</w:t>
      </w:r>
      <w:r w:rsidRPr="005E1271">
        <w:rPr>
          <w:rFonts w:ascii="微软雅黑" w:eastAsia="微软雅黑" w:hAnsi="微软雅黑" w:cs="楷体_GB2312" w:hint="eastAsia"/>
          <w:bCs/>
          <w:sz w:val="21"/>
          <w:szCs w:val="21"/>
          <w:shd w:val="clear" w:color="auto" w:fill="FFFFFF"/>
        </w:rPr>
        <w:t>年</w:t>
      </w:r>
      <w:r w:rsidRPr="005E1271">
        <w:rPr>
          <w:rFonts w:ascii="微软雅黑" w:eastAsia="微软雅黑" w:hAnsi="微软雅黑" w:cs="楷体_GB2312" w:hint="eastAsia"/>
          <w:bCs/>
          <w:sz w:val="21"/>
          <w:szCs w:val="21"/>
          <w:shd w:val="clear" w:color="auto" w:fill="FFFFFF"/>
        </w:rPr>
        <w:t>2</w:t>
      </w:r>
      <w:r w:rsidRPr="005E1271">
        <w:rPr>
          <w:rFonts w:ascii="微软雅黑" w:eastAsia="微软雅黑" w:hAnsi="微软雅黑" w:cs="楷体_GB2312" w:hint="eastAsia"/>
          <w:bCs/>
          <w:sz w:val="21"/>
          <w:szCs w:val="21"/>
          <w:shd w:val="clear" w:color="auto" w:fill="FFFFFF"/>
        </w:rPr>
        <w:t>月</w:t>
      </w:r>
      <w:r w:rsidRPr="005E1271">
        <w:rPr>
          <w:rFonts w:ascii="微软雅黑" w:eastAsia="微软雅黑" w:hAnsi="微软雅黑" w:cs="楷体_GB2312" w:hint="eastAsia"/>
          <w:bCs/>
          <w:sz w:val="21"/>
          <w:szCs w:val="21"/>
          <w:shd w:val="clear" w:color="auto" w:fill="FFFFFF"/>
        </w:rPr>
        <w:t>6</w:t>
      </w:r>
      <w:r w:rsidRPr="005E1271">
        <w:rPr>
          <w:rFonts w:ascii="微软雅黑" w:eastAsia="微软雅黑" w:hAnsi="微软雅黑" w:cs="楷体_GB2312" w:hint="eastAsia"/>
          <w:bCs/>
          <w:sz w:val="21"/>
          <w:szCs w:val="21"/>
          <w:shd w:val="clear" w:color="auto" w:fill="FFFFFF"/>
        </w:rPr>
        <w:t>日《国务院关于修改部分行政法规的决定》第一次修订　根据</w:t>
      </w:r>
      <w:r w:rsidRPr="005E1271">
        <w:rPr>
          <w:rFonts w:ascii="微软雅黑" w:eastAsia="微软雅黑" w:hAnsi="微软雅黑" w:cs="楷体_GB2312" w:hint="eastAsia"/>
          <w:bCs/>
          <w:sz w:val="21"/>
          <w:szCs w:val="21"/>
          <w:shd w:val="clear" w:color="auto" w:fill="FFFFFF"/>
        </w:rPr>
        <w:t>2019</w:t>
      </w:r>
      <w:r w:rsidRPr="005E1271">
        <w:rPr>
          <w:rFonts w:ascii="微软雅黑" w:eastAsia="微软雅黑" w:hAnsi="微软雅黑" w:cs="楷体_GB2312" w:hint="eastAsia"/>
          <w:bCs/>
          <w:sz w:val="21"/>
          <w:szCs w:val="21"/>
          <w:shd w:val="clear" w:color="auto" w:fill="FFFFFF"/>
        </w:rPr>
        <w:t>年</w:t>
      </w:r>
      <w:r w:rsidRPr="005E1271">
        <w:rPr>
          <w:rFonts w:ascii="微软雅黑" w:eastAsia="微软雅黑" w:hAnsi="微软雅黑" w:cs="楷体_GB2312" w:hint="eastAsia"/>
          <w:bCs/>
          <w:sz w:val="21"/>
          <w:szCs w:val="21"/>
          <w:shd w:val="clear" w:color="auto" w:fill="FFFFFF"/>
        </w:rPr>
        <w:t>4</w:t>
      </w:r>
      <w:r w:rsidRPr="005E1271">
        <w:rPr>
          <w:rFonts w:ascii="微软雅黑" w:eastAsia="微软雅黑" w:hAnsi="微软雅黑" w:cs="楷体_GB2312" w:hint="eastAsia"/>
          <w:bCs/>
          <w:sz w:val="21"/>
          <w:szCs w:val="21"/>
          <w:shd w:val="clear" w:color="auto" w:fill="FFFFFF"/>
        </w:rPr>
        <w:t>月</w:t>
      </w:r>
      <w:r w:rsidRPr="005E1271">
        <w:rPr>
          <w:rFonts w:ascii="微软雅黑" w:eastAsia="微软雅黑" w:hAnsi="微软雅黑" w:cs="楷体_GB2312" w:hint="eastAsia"/>
          <w:bCs/>
          <w:sz w:val="21"/>
          <w:szCs w:val="21"/>
          <w:shd w:val="clear" w:color="auto" w:fill="FFFFFF"/>
        </w:rPr>
        <w:t>23</w:t>
      </w:r>
      <w:r w:rsidRPr="005E1271">
        <w:rPr>
          <w:rFonts w:ascii="微软雅黑" w:eastAsia="微软雅黑" w:hAnsi="微软雅黑" w:cs="楷体_GB2312" w:hint="eastAsia"/>
          <w:bCs/>
          <w:sz w:val="21"/>
          <w:szCs w:val="21"/>
          <w:shd w:val="clear" w:color="auto" w:fill="FFFFFF"/>
        </w:rPr>
        <w:t>日《国务院关于修改部分行政法规的决定》第二次修订　根据</w:t>
      </w:r>
      <w:r w:rsidRPr="005E1271">
        <w:rPr>
          <w:rFonts w:ascii="微软雅黑" w:eastAsia="微软雅黑" w:hAnsi="微软雅黑" w:cs="楷体_GB2312" w:hint="eastAsia"/>
          <w:bCs/>
          <w:sz w:val="21"/>
          <w:szCs w:val="21"/>
          <w:shd w:val="clear" w:color="auto" w:fill="FFFFFF"/>
        </w:rPr>
        <w:t>2024</w:t>
      </w:r>
      <w:r w:rsidRPr="005E1271">
        <w:rPr>
          <w:rFonts w:ascii="微软雅黑" w:eastAsia="微软雅黑" w:hAnsi="微软雅黑" w:cs="楷体_GB2312" w:hint="eastAsia"/>
          <w:bCs/>
          <w:sz w:val="21"/>
          <w:szCs w:val="21"/>
          <w:shd w:val="clear" w:color="auto" w:fill="FFFFFF"/>
        </w:rPr>
        <w:t>年</w:t>
      </w:r>
      <w:r w:rsidRPr="005E1271">
        <w:rPr>
          <w:rFonts w:ascii="微软雅黑" w:eastAsia="微软雅黑" w:hAnsi="微软雅黑" w:cs="楷体_GB2312" w:hint="eastAsia"/>
          <w:bCs/>
          <w:sz w:val="21"/>
          <w:szCs w:val="21"/>
          <w:shd w:val="clear" w:color="auto" w:fill="FFFFFF"/>
        </w:rPr>
        <w:t>12</w:t>
      </w:r>
      <w:r w:rsidRPr="005E1271">
        <w:rPr>
          <w:rFonts w:ascii="微软雅黑" w:eastAsia="微软雅黑" w:hAnsi="微软雅黑" w:cs="楷体_GB2312" w:hint="eastAsia"/>
          <w:bCs/>
          <w:sz w:val="21"/>
          <w:szCs w:val="21"/>
          <w:shd w:val="clear" w:color="auto" w:fill="FFFFFF"/>
        </w:rPr>
        <w:t>月</w:t>
      </w:r>
      <w:r w:rsidRPr="005E1271">
        <w:rPr>
          <w:rFonts w:ascii="微软雅黑" w:eastAsia="微软雅黑" w:hAnsi="微软雅黑" w:cs="楷体_GB2312" w:hint="eastAsia"/>
          <w:bCs/>
          <w:sz w:val="21"/>
          <w:szCs w:val="21"/>
          <w:shd w:val="clear" w:color="auto" w:fill="FFFFFF"/>
        </w:rPr>
        <w:t>6</w:t>
      </w:r>
      <w:r w:rsidRPr="005E1271">
        <w:rPr>
          <w:rFonts w:ascii="微软雅黑" w:eastAsia="微软雅黑" w:hAnsi="微软雅黑" w:cs="楷体_GB2312" w:hint="eastAsia"/>
          <w:bCs/>
          <w:sz w:val="21"/>
          <w:szCs w:val="21"/>
          <w:shd w:val="clear" w:color="auto" w:fill="FFFFFF"/>
        </w:rPr>
        <w:t>日《国务院关于修改和废止部分行政法规的决定》第三次修订）</w:t>
      </w:r>
    </w:p>
    <w:p w:rsidR="00E73DBA" w:rsidRPr="005E1271" w:rsidRDefault="00E73DBA" w:rsidP="005E1271">
      <w:pPr>
        <w:spacing w:line="360" w:lineRule="exact"/>
        <w:rPr>
          <w:rFonts w:ascii="微软雅黑" w:eastAsia="微软雅黑" w:hAnsi="微软雅黑" w:cs="宋体"/>
          <w:sz w:val="24"/>
        </w:rPr>
      </w:pPr>
    </w:p>
    <w:p w:rsidR="00E73DBA" w:rsidRPr="005E1271" w:rsidRDefault="005F465B" w:rsidP="005E1271">
      <w:pPr>
        <w:spacing w:line="360" w:lineRule="exact"/>
        <w:jc w:val="center"/>
        <w:rPr>
          <w:rFonts w:ascii="微软雅黑" w:eastAsia="微软雅黑" w:hAnsi="微软雅黑" w:cs="黑体"/>
          <w:sz w:val="24"/>
        </w:rPr>
      </w:pPr>
      <w:bookmarkStart w:id="2" w:name="第一章_总则"/>
      <w:bookmarkEnd w:id="2"/>
      <w:r w:rsidRPr="005E1271">
        <w:rPr>
          <w:rFonts w:ascii="微软雅黑" w:eastAsia="微软雅黑" w:hAnsi="微软雅黑" w:cs="黑体" w:hint="eastAsia"/>
          <w:sz w:val="24"/>
        </w:rPr>
        <w:t>第一章　总　　则</w:t>
      </w:r>
    </w:p>
    <w:p w:rsidR="00E73DBA" w:rsidRPr="005E1271" w:rsidRDefault="00E73DBA" w:rsidP="005E1271">
      <w:pPr>
        <w:spacing w:line="180" w:lineRule="exact"/>
        <w:rPr>
          <w:rFonts w:ascii="微软雅黑" w:eastAsia="微软雅黑" w:hAnsi="微软雅黑" w:cs="宋体"/>
          <w:sz w:val="24"/>
        </w:rPr>
      </w:pP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3" w:name="第一条"/>
      <w:bookmarkEnd w:id="3"/>
      <w:r w:rsidRPr="00364EB9">
        <w:rPr>
          <w:rFonts w:ascii="微软雅黑" w:eastAsia="微软雅黑" w:hAnsi="微软雅黑" w:cs="黑体" w:hint="eastAsia"/>
          <w:b/>
          <w:sz w:val="24"/>
        </w:rPr>
        <w:t>第一条</w:t>
      </w:r>
      <w:r w:rsidRPr="005E1271">
        <w:rPr>
          <w:rFonts w:ascii="微软雅黑" w:eastAsia="微软雅黑" w:hAnsi="微软雅黑" w:cs="仿宋_GB2312" w:hint="eastAsia"/>
          <w:sz w:val="24"/>
        </w:rPr>
        <w:t xml:space="preserve">　为创造良好的公共场所卫生条件，预防疾病，保障人体健康，制定本条例。</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4" w:name="第二条"/>
      <w:bookmarkEnd w:id="4"/>
      <w:r w:rsidRPr="00364EB9">
        <w:rPr>
          <w:rFonts w:ascii="微软雅黑" w:eastAsia="微软雅黑" w:hAnsi="微软雅黑" w:cs="黑体" w:hint="eastAsia"/>
          <w:b/>
          <w:sz w:val="24"/>
        </w:rPr>
        <w:t>第二条</w:t>
      </w:r>
      <w:r w:rsidRPr="005E1271">
        <w:rPr>
          <w:rFonts w:ascii="微软雅黑" w:eastAsia="微软雅黑" w:hAnsi="微软雅黑" w:cs="仿宋_GB2312" w:hint="eastAsia"/>
          <w:sz w:val="24"/>
        </w:rPr>
        <w:t xml:space="preserve">　本条例适用于下列公共场所：</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（一）宾馆、旅店、招待所；</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（二）公共浴室、理发店、美容店；</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（三）影剧院、录像厅（室）、游艺厅（室）、舞厅、音乐厅；</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（四）体育场（馆）、游泳场（馆）、公园；</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（五）展览馆、博物馆、美术馆、图书馆；</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（六）商场（店）、书店；</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（七）候诊室、候车（机、船）室、公共交通工具。</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5" w:name="第三条"/>
      <w:bookmarkEnd w:id="5"/>
      <w:r w:rsidRPr="00364EB9">
        <w:rPr>
          <w:rFonts w:ascii="微软雅黑" w:eastAsia="微软雅黑" w:hAnsi="微软雅黑" w:cs="黑体" w:hint="eastAsia"/>
          <w:b/>
          <w:sz w:val="24"/>
        </w:rPr>
        <w:t>第三条</w:t>
      </w:r>
      <w:r w:rsidRPr="005E1271">
        <w:rPr>
          <w:rFonts w:ascii="微软雅黑" w:eastAsia="微软雅黑" w:hAnsi="微软雅黑" w:cs="仿宋_GB2312" w:hint="eastAsia"/>
          <w:sz w:val="24"/>
        </w:rPr>
        <w:t xml:space="preserve">　公共场所的下列项目应符合国家卫生标准和要求：</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（一）空气、微小气候（湿度、温度、风速）；</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（二）水质；</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（三）采光、照明；</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（四）噪音；</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（五）顾客用具和卫生设施。</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公共场所的卫生标准和要求，由国务院疾病预防控制部门负责制定。</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6" w:name="第四条"/>
      <w:bookmarkEnd w:id="6"/>
      <w:r w:rsidRPr="00364EB9">
        <w:rPr>
          <w:rFonts w:ascii="微软雅黑" w:eastAsia="微软雅黑" w:hAnsi="微软雅黑" w:cs="黑体" w:hint="eastAsia"/>
          <w:b/>
          <w:sz w:val="24"/>
        </w:rPr>
        <w:t>第四条</w:t>
      </w:r>
      <w:r w:rsidRPr="005E1271">
        <w:rPr>
          <w:rFonts w:ascii="微软雅黑" w:eastAsia="微软雅黑" w:hAnsi="微软雅黑" w:cs="仿宋_GB2312" w:hint="eastAsia"/>
          <w:sz w:val="24"/>
        </w:rPr>
        <w:t xml:space="preserve">　国家对公共场所实行“卫生许可证”制度。</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“卫生许可证”由设区的市级、县级人民政府疾病预防控制部门签发。</w:t>
      </w:r>
    </w:p>
    <w:p w:rsidR="00E73DBA" w:rsidRPr="005E1271" w:rsidRDefault="00E73DBA" w:rsidP="005E1271">
      <w:pPr>
        <w:spacing w:line="360" w:lineRule="exact"/>
        <w:rPr>
          <w:rFonts w:ascii="微软雅黑" w:eastAsia="微软雅黑" w:hAnsi="微软雅黑" w:cs="宋体"/>
          <w:sz w:val="24"/>
        </w:rPr>
      </w:pPr>
    </w:p>
    <w:p w:rsidR="00E73DBA" w:rsidRPr="005E1271" w:rsidRDefault="005F465B" w:rsidP="005E1271">
      <w:pPr>
        <w:spacing w:line="360" w:lineRule="exact"/>
        <w:jc w:val="center"/>
        <w:rPr>
          <w:rFonts w:ascii="微软雅黑" w:eastAsia="微软雅黑" w:hAnsi="微软雅黑" w:cs="黑体"/>
          <w:sz w:val="24"/>
        </w:rPr>
      </w:pPr>
      <w:bookmarkStart w:id="7" w:name="第二章_卫生管理"/>
      <w:bookmarkEnd w:id="7"/>
      <w:r w:rsidRPr="005E1271">
        <w:rPr>
          <w:rFonts w:ascii="微软雅黑" w:eastAsia="微软雅黑" w:hAnsi="微软雅黑" w:cs="黑体" w:hint="eastAsia"/>
          <w:sz w:val="24"/>
        </w:rPr>
        <w:t>第二章　卫生管理</w:t>
      </w:r>
    </w:p>
    <w:p w:rsidR="00E73DBA" w:rsidRPr="005E1271" w:rsidRDefault="00E73DBA" w:rsidP="005E1271">
      <w:pPr>
        <w:spacing w:line="180" w:lineRule="exact"/>
        <w:rPr>
          <w:rFonts w:ascii="微软雅黑" w:eastAsia="微软雅黑" w:hAnsi="微软雅黑" w:cs="宋体"/>
          <w:sz w:val="24"/>
        </w:rPr>
      </w:pP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8" w:name="第五条"/>
      <w:bookmarkEnd w:id="8"/>
      <w:r w:rsidRPr="00364EB9">
        <w:rPr>
          <w:rFonts w:ascii="微软雅黑" w:eastAsia="微软雅黑" w:hAnsi="微软雅黑" w:cs="黑体" w:hint="eastAsia"/>
          <w:b/>
          <w:sz w:val="24"/>
        </w:rPr>
        <w:t>第五条</w:t>
      </w:r>
      <w:r w:rsidRPr="005E1271">
        <w:rPr>
          <w:rFonts w:ascii="微软雅黑" w:eastAsia="微软雅黑" w:hAnsi="微软雅黑" w:cs="仿宋_GB2312" w:hint="eastAsia"/>
          <w:sz w:val="24"/>
        </w:rPr>
        <w:t xml:space="preserve">　公共场所的主管部门应当建立卫生管理制度，配备专职或者兼职卫生管理人员，对所属经营单位（包括个体经营者，下同）的卫生状况进行经常性检查，并提供必要的条件。</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9" w:name="第六条"/>
      <w:bookmarkEnd w:id="9"/>
      <w:r w:rsidRPr="00364EB9">
        <w:rPr>
          <w:rFonts w:ascii="微软雅黑" w:eastAsia="微软雅黑" w:hAnsi="微软雅黑" w:cs="黑体" w:hint="eastAsia"/>
          <w:b/>
          <w:sz w:val="24"/>
        </w:rPr>
        <w:t>第六条</w:t>
      </w:r>
      <w:r w:rsidRPr="005E1271">
        <w:rPr>
          <w:rFonts w:ascii="微软雅黑" w:eastAsia="微软雅黑" w:hAnsi="微软雅黑" w:cs="仿宋_GB2312" w:hint="eastAsia"/>
          <w:sz w:val="24"/>
        </w:rPr>
        <w:t xml:space="preserve">　经营单位应当负责所经营的公共场所的卫生管理，建立卫生责任制度，对本单位的从业人员进行卫生知识的培训和考核工作。</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10" w:name="第七条"/>
      <w:bookmarkEnd w:id="10"/>
      <w:r w:rsidRPr="00364EB9">
        <w:rPr>
          <w:rFonts w:ascii="微软雅黑" w:eastAsia="微软雅黑" w:hAnsi="微软雅黑" w:cs="黑体" w:hint="eastAsia"/>
          <w:b/>
          <w:sz w:val="24"/>
        </w:rPr>
        <w:t>第七条</w:t>
      </w:r>
      <w:r w:rsidRPr="005E1271">
        <w:rPr>
          <w:rFonts w:ascii="微软雅黑" w:eastAsia="微软雅黑" w:hAnsi="微软雅黑" w:cs="仿宋_GB2312" w:hint="eastAsia"/>
          <w:sz w:val="24"/>
        </w:rPr>
        <w:t xml:space="preserve">　公共场所直接为顾客服务的人员，持有“健康合格证”方能从事本职工作。患有痢疾、伤寒、病毒性肝炎、活动期肺结核、化脓性或者渗出性皮肤病以及其</w:t>
      </w:r>
      <w:r w:rsidRPr="005E1271">
        <w:rPr>
          <w:rFonts w:ascii="微软雅黑" w:eastAsia="微软雅黑" w:hAnsi="微软雅黑" w:cs="仿宋_GB2312" w:hint="eastAsia"/>
          <w:sz w:val="24"/>
        </w:rPr>
        <w:t>他有碍公共卫生的疾病的，治愈前不得从事直接为顾客服务的工作。</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11" w:name="第八条"/>
      <w:bookmarkEnd w:id="11"/>
      <w:r w:rsidRPr="00364EB9">
        <w:rPr>
          <w:rFonts w:ascii="微软雅黑" w:eastAsia="微软雅黑" w:hAnsi="微软雅黑" w:cs="黑体" w:hint="eastAsia"/>
          <w:b/>
          <w:sz w:val="24"/>
        </w:rPr>
        <w:t>第八条</w:t>
      </w:r>
      <w:r w:rsidRPr="005E1271">
        <w:rPr>
          <w:rFonts w:ascii="微软雅黑" w:eastAsia="微软雅黑" w:hAnsi="微软雅黑" w:cs="仿宋_GB2312" w:hint="eastAsia"/>
          <w:sz w:val="24"/>
        </w:rPr>
        <w:t xml:space="preserve">　除公园、体育场（馆）、公共交通工具和本条第二款规定的实行卫生备案管理的公共场所外，经营单位应当在营业前向设区的市级、县级人民政府疾病预防控制部门申请办理“卫生许可证”。</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录像厅（室）、音乐厅、展览馆、博物馆、美术馆、图书馆、书店的经营单位应当在营业之日起</w:t>
      </w:r>
      <w:r w:rsidRPr="005E1271">
        <w:rPr>
          <w:rFonts w:ascii="微软雅黑" w:eastAsia="微软雅黑" w:hAnsi="微软雅黑" w:cs="仿宋_GB2312" w:hint="eastAsia"/>
          <w:sz w:val="24"/>
        </w:rPr>
        <w:t>30</w:t>
      </w:r>
      <w:r w:rsidRPr="005E1271">
        <w:rPr>
          <w:rFonts w:ascii="微软雅黑" w:eastAsia="微软雅黑" w:hAnsi="微软雅黑" w:cs="仿宋_GB2312" w:hint="eastAsia"/>
          <w:sz w:val="24"/>
        </w:rPr>
        <w:t>天内向设区的市级、县级人民政府疾病预防控制部门办理卫生备案。</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12" w:name="第九条"/>
      <w:bookmarkEnd w:id="12"/>
      <w:r w:rsidRPr="00364EB9">
        <w:rPr>
          <w:rFonts w:ascii="微软雅黑" w:eastAsia="微软雅黑" w:hAnsi="微软雅黑" w:cs="黑体" w:hint="eastAsia"/>
          <w:b/>
          <w:sz w:val="24"/>
        </w:rPr>
        <w:t>第九条</w:t>
      </w:r>
      <w:r w:rsidRPr="005E1271">
        <w:rPr>
          <w:rFonts w:ascii="微软雅黑" w:eastAsia="微软雅黑" w:hAnsi="微软雅黑" w:cs="仿宋_GB2312" w:hint="eastAsia"/>
          <w:sz w:val="24"/>
        </w:rPr>
        <w:t xml:space="preserve">　公共场所因不符合卫生标准和要求造成危害健康事故的，经营单位应妥善处理，并及时报告卫生防疫机构。</w:t>
      </w:r>
    </w:p>
    <w:p w:rsidR="00E73DBA" w:rsidRPr="005E1271" w:rsidRDefault="00E73DBA" w:rsidP="005E1271">
      <w:pPr>
        <w:spacing w:line="360" w:lineRule="exact"/>
        <w:rPr>
          <w:rFonts w:ascii="微软雅黑" w:eastAsia="微软雅黑" w:hAnsi="微软雅黑" w:cs="宋体"/>
          <w:sz w:val="24"/>
        </w:rPr>
      </w:pPr>
    </w:p>
    <w:p w:rsidR="00E73DBA" w:rsidRPr="005E1271" w:rsidRDefault="005F465B" w:rsidP="005E1271">
      <w:pPr>
        <w:spacing w:line="360" w:lineRule="exact"/>
        <w:jc w:val="center"/>
        <w:rPr>
          <w:rFonts w:ascii="微软雅黑" w:eastAsia="微软雅黑" w:hAnsi="微软雅黑" w:cs="黑体"/>
          <w:sz w:val="24"/>
        </w:rPr>
      </w:pPr>
      <w:bookmarkStart w:id="13" w:name="第三章_卫生监督"/>
      <w:bookmarkEnd w:id="13"/>
      <w:r w:rsidRPr="005E1271">
        <w:rPr>
          <w:rFonts w:ascii="微软雅黑" w:eastAsia="微软雅黑" w:hAnsi="微软雅黑" w:cs="黑体" w:hint="eastAsia"/>
          <w:sz w:val="24"/>
        </w:rPr>
        <w:t>第三章　卫生监督</w:t>
      </w:r>
    </w:p>
    <w:p w:rsidR="00E73DBA" w:rsidRPr="005E1271" w:rsidRDefault="00E73DBA" w:rsidP="005E1271">
      <w:pPr>
        <w:spacing w:line="360" w:lineRule="exact"/>
        <w:rPr>
          <w:rFonts w:ascii="微软雅黑" w:eastAsia="微软雅黑" w:hAnsi="微软雅黑" w:cs="宋体"/>
          <w:sz w:val="24"/>
        </w:rPr>
      </w:pP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14" w:name="第十条"/>
      <w:bookmarkEnd w:id="14"/>
      <w:r w:rsidRPr="00364EB9">
        <w:rPr>
          <w:rFonts w:ascii="微软雅黑" w:eastAsia="微软雅黑" w:hAnsi="微软雅黑" w:cs="黑体" w:hint="eastAsia"/>
          <w:b/>
          <w:sz w:val="24"/>
        </w:rPr>
        <w:t>第十条</w:t>
      </w:r>
      <w:r w:rsidRPr="005E1271">
        <w:rPr>
          <w:rFonts w:ascii="微软雅黑" w:eastAsia="微软雅黑" w:hAnsi="微软雅黑" w:cs="仿宋_GB2312" w:hint="eastAsia"/>
          <w:sz w:val="24"/>
        </w:rPr>
        <w:t xml:space="preserve">　各级卫生防疫机构，负责管辖范围内的公共场所卫生监督工作。</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民航、铁路、交通、厂（场）矿卫生防疫机构对管辖范围内的公共场所，施行卫生监督，并接受当地卫生防疫机构的业务指导。</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15" w:name="第十一条"/>
      <w:bookmarkEnd w:id="15"/>
      <w:r w:rsidRPr="00364EB9">
        <w:rPr>
          <w:rFonts w:ascii="微软雅黑" w:eastAsia="微软雅黑" w:hAnsi="微软雅黑" w:cs="黑体" w:hint="eastAsia"/>
          <w:b/>
          <w:sz w:val="24"/>
        </w:rPr>
        <w:t>第十一条</w:t>
      </w:r>
      <w:r w:rsidRPr="005E1271">
        <w:rPr>
          <w:rFonts w:ascii="微软雅黑" w:eastAsia="微软雅黑" w:hAnsi="微软雅黑" w:cs="仿宋_GB2312" w:hint="eastAsia"/>
          <w:sz w:val="24"/>
        </w:rPr>
        <w:t xml:space="preserve">　卫生防疫机构根据需要设立公共场所卫生监督员，执行卫生防疫机构交给的任务。公共场所卫生监督员由同级人民政府发给证书。</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民航、铁路、交通、工矿企业卫生防疫机构的公共场所卫生监督员，由其上级主管部门发给证书。</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16" w:name="第十二条"/>
      <w:bookmarkEnd w:id="16"/>
      <w:r w:rsidRPr="00364EB9">
        <w:rPr>
          <w:rFonts w:ascii="微软雅黑" w:eastAsia="微软雅黑" w:hAnsi="微软雅黑" w:cs="黑体" w:hint="eastAsia"/>
          <w:b/>
          <w:sz w:val="24"/>
        </w:rPr>
        <w:t>第十二条</w:t>
      </w:r>
      <w:r w:rsidRPr="005E1271">
        <w:rPr>
          <w:rFonts w:ascii="微软雅黑" w:eastAsia="微软雅黑" w:hAnsi="微软雅黑" w:cs="仿宋_GB2312" w:hint="eastAsia"/>
          <w:sz w:val="24"/>
        </w:rPr>
        <w:t xml:space="preserve">　卫生防疫机构对公共场所的卫生监督职责：</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（一）对公共场所进行卫生监测和卫生技术指导；</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（二）监督从业人员</w:t>
      </w:r>
      <w:r w:rsidRPr="005E1271">
        <w:rPr>
          <w:rFonts w:ascii="微软雅黑" w:eastAsia="微软雅黑" w:hAnsi="微软雅黑" w:cs="仿宋_GB2312" w:hint="eastAsia"/>
          <w:sz w:val="24"/>
        </w:rPr>
        <w:t>健康检查，指导有关部门对从业人员进行卫生知识的教育和培训。</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17" w:name="第十三条"/>
      <w:bookmarkEnd w:id="17"/>
      <w:r w:rsidRPr="00364EB9">
        <w:rPr>
          <w:rFonts w:ascii="微软雅黑" w:eastAsia="微软雅黑" w:hAnsi="微软雅黑" w:cs="黑体" w:hint="eastAsia"/>
          <w:b/>
          <w:sz w:val="24"/>
        </w:rPr>
        <w:t>第十三条</w:t>
      </w:r>
      <w:r w:rsidRPr="005E1271">
        <w:rPr>
          <w:rFonts w:ascii="微软雅黑" w:eastAsia="微软雅黑" w:hAnsi="微软雅黑" w:cs="仿宋_GB2312" w:hint="eastAsia"/>
          <w:sz w:val="24"/>
        </w:rPr>
        <w:t xml:space="preserve">　卫生监督员有权对公共场所进行现场检查，索取有关资料，经营单位不得拒绝或隐瞒。卫生监督员对所提供的技术资料有保密的责任。</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公共场所卫生监督员在执行任务时，应佩戴证章、出示证件。</w:t>
      </w:r>
    </w:p>
    <w:p w:rsidR="00E73DBA" w:rsidRPr="005E1271" w:rsidRDefault="00E73DBA" w:rsidP="005E1271">
      <w:pPr>
        <w:spacing w:line="360" w:lineRule="exact"/>
        <w:rPr>
          <w:rFonts w:ascii="微软雅黑" w:eastAsia="微软雅黑" w:hAnsi="微软雅黑" w:cs="宋体"/>
          <w:sz w:val="24"/>
        </w:rPr>
      </w:pPr>
    </w:p>
    <w:p w:rsidR="00E73DBA" w:rsidRPr="005E1271" w:rsidRDefault="005F465B" w:rsidP="005E1271">
      <w:pPr>
        <w:spacing w:line="360" w:lineRule="exact"/>
        <w:jc w:val="center"/>
        <w:rPr>
          <w:rFonts w:ascii="微软雅黑" w:eastAsia="微软雅黑" w:hAnsi="微软雅黑" w:cs="黑体"/>
          <w:sz w:val="24"/>
        </w:rPr>
      </w:pPr>
      <w:bookmarkStart w:id="18" w:name="第四章_罚则"/>
      <w:bookmarkEnd w:id="18"/>
      <w:r w:rsidRPr="005E1271">
        <w:rPr>
          <w:rFonts w:ascii="微软雅黑" w:eastAsia="微软雅黑" w:hAnsi="微软雅黑" w:cs="黑体" w:hint="eastAsia"/>
          <w:sz w:val="24"/>
        </w:rPr>
        <w:t>第四章　罚　　则</w:t>
      </w:r>
    </w:p>
    <w:p w:rsidR="00E73DBA" w:rsidRPr="005E1271" w:rsidRDefault="00E73DBA" w:rsidP="005E1271">
      <w:pPr>
        <w:spacing w:line="360" w:lineRule="exact"/>
        <w:rPr>
          <w:rFonts w:ascii="微软雅黑" w:eastAsia="微软雅黑" w:hAnsi="微软雅黑" w:cs="宋体"/>
          <w:sz w:val="24"/>
        </w:rPr>
      </w:pP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19" w:name="第十四条"/>
      <w:bookmarkEnd w:id="19"/>
      <w:r w:rsidRPr="00364EB9">
        <w:rPr>
          <w:rFonts w:ascii="微软雅黑" w:eastAsia="微软雅黑" w:hAnsi="微软雅黑" w:cs="黑体" w:hint="eastAsia"/>
          <w:b/>
          <w:sz w:val="24"/>
        </w:rPr>
        <w:t>第十四条</w:t>
      </w:r>
      <w:r w:rsidRPr="005E1271">
        <w:rPr>
          <w:rFonts w:ascii="微软雅黑" w:eastAsia="微软雅黑" w:hAnsi="微软雅黑" w:cs="仿宋_GB2312" w:hint="eastAsia"/>
          <w:sz w:val="24"/>
        </w:rPr>
        <w:t xml:space="preserve">　凡有下列行为之一的单位或者个人，卫生防疫机构可以根据情节轻重，给予警告、罚款、停业整顿、吊销“卫生许可证”的行政处罚：</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（一）卫生质量不符合国家卫生标准和要求，而继续营业的；</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（二）未获得“健康合格证”，而从事直接为顾客服务的；</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（三）拒绝卫生监督的；</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（四）未取得“卫生许可证”擅自营业，或者未办理卫生备案的。</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罚款一律上交国库。</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20" w:name="第十五条"/>
      <w:bookmarkEnd w:id="20"/>
      <w:r w:rsidRPr="00364EB9">
        <w:rPr>
          <w:rFonts w:ascii="微软雅黑" w:eastAsia="微软雅黑" w:hAnsi="微软雅黑" w:cs="黑体" w:hint="eastAsia"/>
          <w:b/>
          <w:sz w:val="24"/>
        </w:rPr>
        <w:t>第十五条</w:t>
      </w:r>
      <w:r w:rsidRPr="005E1271">
        <w:rPr>
          <w:rFonts w:ascii="微软雅黑" w:eastAsia="微软雅黑" w:hAnsi="微软雅黑" w:cs="仿宋_GB2312" w:hint="eastAsia"/>
          <w:sz w:val="24"/>
        </w:rPr>
        <w:t xml:space="preserve">　违反本条例的规定造成严重危害公民健康的事故或中毒事故的单位或者个人，应当对受害人赔偿损失。</w:t>
      </w:r>
    </w:p>
    <w:p w:rsidR="00E73DBA" w:rsidRPr="005E1271" w:rsidRDefault="005F465B" w:rsidP="005E1271">
      <w:pPr>
        <w:spacing w:line="360" w:lineRule="exact"/>
        <w:ind w:firstLineChars="200" w:firstLine="472"/>
        <w:rPr>
          <w:rFonts w:ascii="微软雅黑" w:eastAsia="微软雅黑" w:hAnsi="微软雅黑" w:cs="仿宋_GB2312"/>
          <w:sz w:val="24"/>
        </w:rPr>
      </w:pPr>
      <w:r w:rsidRPr="005E1271">
        <w:rPr>
          <w:rFonts w:ascii="微软雅黑" w:eastAsia="微软雅黑" w:hAnsi="微软雅黑" w:cs="仿宋_GB2312" w:hint="eastAsia"/>
          <w:sz w:val="24"/>
        </w:rPr>
        <w:t>违反本条例致人残疾或者死亡，构成犯罪的，应由司法机关依法追究直接责任人员的刑事责任。</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21" w:name="第十六条"/>
      <w:bookmarkEnd w:id="21"/>
      <w:r w:rsidRPr="00364EB9">
        <w:rPr>
          <w:rFonts w:ascii="微软雅黑" w:eastAsia="微软雅黑" w:hAnsi="微软雅黑" w:cs="黑体" w:hint="eastAsia"/>
          <w:b/>
          <w:sz w:val="24"/>
        </w:rPr>
        <w:t>第十六条</w:t>
      </w:r>
      <w:r w:rsidRPr="005E1271">
        <w:rPr>
          <w:rFonts w:ascii="微软雅黑" w:eastAsia="微软雅黑" w:hAnsi="微软雅黑" w:cs="仿宋_GB2312" w:hint="eastAsia"/>
          <w:sz w:val="24"/>
        </w:rPr>
        <w:t xml:space="preserve">　</w:t>
      </w:r>
      <w:r w:rsidRPr="005E1271">
        <w:rPr>
          <w:rFonts w:ascii="微软雅黑" w:eastAsia="微软雅黑" w:hAnsi="微软雅黑" w:cs="仿宋_GB2312" w:hint="eastAsia"/>
          <w:sz w:val="24"/>
        </w:rPr>
        <w:t>对罚款、停业整顿及吊销“卫生许可证”的行政处罚不服的，在接到处罚通知之日起</w:t>
      </w:r>
      <w:r w:rsidRPr="005E1271">
        <w:rPr>
          <w:rFonts w:ascii="微软雅黑" w:eastAsia="微软雅黑" w:hAnsi="微软雅黑" w:cs="仿宋_GB2312" w:hint="eastAsia"/>
          <w:sz w:val="24"/>
        </w:rPr>
        <w:t>15</w:t>
      </w:r>
      <w:r w:rsidRPr="005E1271">
        <w:rPr>
          <w:rFonts w:ascii="微软雅黑" w:eastAsia="微软雅黑" w:hAnsi="微软雅黑" w:cs="仿宋_GB2312" w:hint="eastAsia"/>
          <w:sz w:val="24"/>
        </w:rPr>
        <w:t>天内，可以向当地人民法院起诉。但对公共场所卫生质量控制的决定应立即执行。对处罚的决定不履行又逾期不起诉的，由卫生防疫机构向人民法院申请强制执行。</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22" w:name="第十七条"/>
      <w:bookmarkEnd w:id="22"/>
      <w:r w:rsidRPr="00364EB9">
        <w:rPr>
          <w:rFonts w:ascii="微软雅黑" w:eastAsia="微软雅黑" w:hAnsi="微软雅黑" w:cs="黑体" w:hint="eastAsia"/>
          <w:b/>
          <w:sz w:val="24"/>
        </w:rPr>
        <w:t>第十七条</w:t>
      </w:r>
      <w:r w:rsidRPr="005E1271">
        <w:rPr>
          <w:rFonts w:ascii="微软雅黑" w:eastAsia="微软雅黑" w:hAnsi="微软雅黑" w:cs="仿宋_GB2312" w:hint="eastAsia"/>
          <w:sz w:val="24"/>
        </w:rPr>
        <w:t xml:space="preserve">　公共场所卫生监督机构和卫生监督员必须尽职尽责，依法办事。对玩忽职守，滥用职权，收取贿赂的，由上级主管部门给予直接责任人员行政处分。构成犯罪的，由司法机关依法追究直接责任人员的刑事责任。</w:t>
      </w:r>
    </w:p>
    <w:p w:rsidR="00E73DBA" w:rsidRPr="005E1271" w:rsidRDefault="00E73DBA" w:rsidP="005E1271">
      <w:pPr>
        <w:spacing w:line="360" w:lineRule="exact"/>
        <w:rPr>
          <w:rFonts w:ascii="微软雅黑" w:eastAsia="微软雅黑" w:hAnsi="微软雅黑" w:cs="宋体"/>
          <w:sz w:val="24"/>
        </w:rPr>
      </w:pPr>
    </w:p>
    <w:p w:rsidR="00E73DBA" w:rsidRPr="005E1271" w:rsidRDefault="005F465B" w:rsidP="005E1271">
      <w:pPr>
        <w:spacing w:line="360" w:lineRule="exact"/>
        <w:jc w:val="center"/>
        <w:rPr>
          <w:rFonts w:ascii="微软雅黑" w:eastAsia="微软雅黑" w:hAnsi="微软雅黑" w:cs="黑体"/>
          <w:sz w:val="24"/>
        </w:rPr>
      </w:pPr>
      <w:bookmarkStart w:id="23" w:name="第五章_附则"/>
      <w:bookmarkEnd w:id="23"/>
      <w:r w:rsidRPr="005E1271">
        <w:rPr>
          <w:rFonts w:ascii="微软雅黑" w:eastAsia="微软雅黑" w:hAnsi="微软雅黑" w:cs="黑体" w:hint="eastAsia"/>
          <w:sz w:val="24"/>
        </w:rPr>
        <w:t>第五章　附　　则</w:t>
      </w:r>
    </w:p>
    <w:p w:rsidR="00E73DBA" w:rsidRPr="005E1271" w:rsidRDefault="00E73DBA" w:rsidP="005E1271">
      <w:pPr>
        <w:spacing w:line="360" w:lineRule="exact"/>
        <w:rPr>
          <w:rFonts w:ascii="微软雅黑" w:eastAsia="微软雅黑" w:hAnsi="微软雅黑" w:cs="宋体"/>
          <w:sz w:val="24"/>
        </w:rPr>
      </w:pP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24" w:name="第十八条"/>
      <w:bookmarkEnd w:id="24"/>
      <w:r w:rsidRPr="00364EB9">
        <w:rPr>
          <w:rFonts w:ascii="微软雅黑" w:eastAsia="微软雅黑" w:hAnsi="微软雅黑" w:cs="黑体" w:hint="eastAsia"/>
          <w:b/>
          <w:sz w:val="24"/>
        </w:rPr>
        <w:t>第十八条</w:t>
      </w:r>
      <w:r w:rsidRPr="005E1271">
        <w:rPr>
          <w:rFonts w:ascii="微软雅黑" w:eastAsia="微软雅黑" w:hAnsi="微软雅黑" w:cs="仿宋_GB2312" w:hint="eastAsia"/>
          <w:sz w:val="24"/>
        </w:rPr>
        <w:t xml:space="preserve">　本条例的实施细则由国务院卫生行政部门负责制定。</w:t>
      </w:r>
    </w:p>
    <w:p w:rsidR="00E73DBA" w:rsidRPr="005E1271" w:rsidRDefault="005F465B" w:rsidP="005E1271">
      <w:pPr>
        <w:spacing w:line="360" w:lineRule="exact"/>
        <w:ind w:firstLineChars="200" w:firstLine="472"/>
        <w:rPr>
          <w:rFonts w:ascii="微软雅黑" w:eastAsia="微软雅黑" w:hAnsi="微软雅黑" w:cs="仿宋_GB2312"/>
          <w:sz w:val="24"/>
        </w:rPr>
      </w:pPr>
      <w:bookmarkStart w:id="25" w:name="第十九条"/>
      <w:bookmarkEnd w:id="25"/>
      <w:r w:rsidRPr="00364EB9">
        <w:rPr>
          <w:rFonts w:ascii="微软雅黑" w:eastAsia="微软雅黑" w:hAnsi="微软雅黑" w:cs="黑体" w:hint="eastAsia"/>
          <w:b/>
          <w:sz w:val="24"/>
        </w:rPr>
        <w:t>第十九条</w:t>
      </w:r>
      <w:r w:rsidRPr="005E1271">
        <w:rPr>
          <w:rFonts w:ascii="微软雅黑" w:eastAsia="微软雅黑" w:hAnsi="微软雅黑" w:cs="仿宋_GB2312" w:hint="eastAsia"/>
          <w:sz w:val="24"/>
        </w:rPr>
        <w:t xml:space="preserve">　本</w:t>
      </w:r>
      <w:r w:rsidRPr="005E1271">
        <w:rPr>
          <w:rFonts w:ascii="微软雅黑" w:eastAsia="微软雅黑" w:hAnsi="微软雅黑" w:cs="仿宋_GB2312" w:hint="eastAsia"/>
          <w:sz w:val="24"/>
        </w:rPr>
        <w:t>条例自发布之日起施行。</w:t>
      </w:r>
    </w:p>
    <w:sectPr w:rsidR="00E73DBA" w:rsidRPr="005E1271" w:rsidSect="005E1271">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65B" w:rsidRDefault="005F465B" w:rsidP="00E73DBA">
      <w:r>
        <w:separator/>
      </w:r>
    </w:p>
  </w:endnote>
  <w:endnote w:type="continuationSeparator" w:id="0">
    <w:p w:rsidR="005F465B" w:rsidRDefault="005F465B" w:rsidP="00E73D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BA" w:rsidRDefault="005F465B">
    <w:pPr>
      <w:pStyle w:val="a4"/>
      <w:rPr>
        <w:rFonts w:ascii="宋体" w:eastAsia="宋体" w:hAnsi="宋体"/>
        <w:sz w:val="28"/>
        <w:szCs w:val="28"/>
      </w:rPr>
    </w:pPr>
    <w:r>
      <w:rPr>
        <w:rFonts w:ascii="宋体" w:eastAsia="宋体" w:hAnsi="宋体" w:hint="eastAsia"/>
        <w:sz w:val="28"/>
        <w:szCs w:val="28"/>
      </w:rPr>
      <w:t xml:space="preserve">　－</w:t>
    </w:r>
    <w:r w:rsidR="00E73DBA">
      <w:rPr>
        <w:rFonts w:ascii="宋体" w:eastAsia="宋体" w:hAnsi="宋体"/>
        <w:sz w:val="28"/>
        <w:szCs w:val="28"/>
      </w:rPr>
      <w:fldChar w:fldCharType="begin"/>
    </w:r>
    <w:r>
      <w:rPr>
        <w:rFonts w:ascii="宋体" w:eastAsia="宋体" w:hAnsi="宋体"/>
        <w:sz w:val="28"/>
        <w:szCs w:val="28"/>
      </w:rPr>
      <w:instrText>PAGE   \* MERGEFORMAT</w:instrText>
    </w:r>
    <w:r w:rsidR="00E73DBA">
      <w:rPr>
        <w:rFonts w:ascii="宋体" w:eastAsia="宋体" w:hAnsi="宋体"/>
        <w:sz w:val="28"/>
        <w:szCs w:val="28"/>
      </w:rPr>
      <w:fldChar w:fldCharType="separate"/>
    </w:r>
    <w:r w:rsidR="005E1271" w:rsidRPr="005E1271">
      <w:rPr>
        <w:rFonts w:ascii="宋体" w:eastAsia="宋体" w:hAnsi="宋体"/>
        <w:noProof/>
        <w:sz w:val="28"/>
        <w:szCs w:val="28"/>
        <w:lang w:val="zh-CN"/>
      </w:rPr>
      <w:t>2</w:t>
    </w:r>
    <w:r w:rsidR="00E73DBA">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BA" w:rsidRDefault="005F465B">
    <w:pPr>
      <w:pStyle w:val="a4"/>
      <w:wordWrap w:val="0"/>
      <w:jc w:val="right"/>
      <w:rPr>
        <w:rFonts w:eastAsia="宋体"/>
      </w:rPr>
    </w:pPr>
    <w:r>
      <w:rPr>
        <w:rFonts w:ascii="宋体" w:eastAsia="宋体" w:hAnsi="宋体" w:hint="eastAsia"/>
        <w:sz w:val="28"/>
        <w:szCs w:val="28"/>
      </w:rPr>
      <w:t>－</w:t>
    </w:r>
    <w:r w:rsidR="00E73DBA">
      <w:rPr>
        <w:rFonts w:ascii="宋体" w:eastAsia="宋体" w:hAnsi="宋体"/>
        <w:sz w:val="28"/>
        <w:szCs w:val="28"/>
      </w:rPr>
      <w:fldChar w:fldCharType="begin"/>
    </w:r>
    <w:r>
      <w:rPr>
        <w:rFonts w:ascii="宋体" w:eastAsia="宋体" w:hAnsi="宋体"/>
        <w:sz w:val="28"/>
        <w:szCs w:val="28"/>
      </w:rPr>
      <w:instrText>PAGE   \* MERGEFORMAT</w:instrText>
    </w:r>
    <w:r w:rsidR="00E73DBA">
      <w:rPr>
        <w:rFonts w:ascii="宋体" w:eastAsia="宋体" w:hAnsi="宋体"/>
        <w:sz w:val="28"/>
        <w:szCs w:val="28"/>
      </w:rPr>
      <w:fldChar w:fldCharType="separate"/>
    </w:r>
    <w:r w:rsidR="00364EB9" w:rsidRPr="00364EB9">
      <w:rPr>
        <w:rFonts w:ascii="宋体" w:eastAsia="宋体" w:hAnsi="宋体"/>
        <w:noProof/>
        <w:sz w:val="28"/>
        <w:szCs w:val="28"/>
        <w:lang w:val="zh-CN"/>
      </w:rPr>
      <w:t>2</w:t>
    </w:r>
    <w:r w:rsidR="00E73DBA">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65B" w:rsidRDefault="005F465B" w:rsidP="00E73DBA">
      <w:r>
        <w:separator/>
      </w:r>
    </w:p>
  </w:footnote>
  <w:footnote w:type="continuationSeparator" w:id="0">
    <w:p w:rsidR="005F465B" w:rsidRDefault="005F465B" w:rsidP="00E73D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64EB9"/>
    <w:rsid w:val="003A0332"/>
    <w:rsid w:val="003F636B"/>
    <w:rsid w:val="00420DB2"/>
    <w:rsid w:val="0044207F"/>
    <w:rsid w:val="0048283C"/>
    <w:rsid w:val="004D5710"/>
    <w:rsid w:val="004F542C"/>
    <w:rsid w:val="00550A4A"/>
    <w:rsid w:val="005538C9"/>
    <w:rsid w:val="005667BC"/>
    <w:rsid w:val="005A4A7E"/>
    <w:rsid w:val="005C49EF"/>
    <w:rsid w:val="005E1271"/>
    <w:rsid w:val="005F0A94"/>
    <w:rsid w:val="005F465B"/>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73DBA"/>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DBA"/>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E73DBA"/>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E73DBA"/>
    <w:rPr>
      <w:rFonts w:ascii="宋体" w:hAnsi="Courier New" w:cs="Courier New"/>
      <w:szCs w:val="21"/>
    </w:rPr>
  </w:style>
  <w:style w:type="paragraph" w:styleId="a4">
    <w:name w:val="footer"/>
    <w:basedOn w:val="a"/>
    <w:link w:val="Char"/>
    <w:uiPriority w:val="99"/>
    <w:unhideWhenUsed/>
    <w:qFormat/>
    <w:rsid w:val="00E73DB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E73DBA"/>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E73DBA"/>
    <w:rPr>
      <w:color w:val="954F72"/>
      <w:u w:val="single"/>
    </w:rPr>
  </w:style>
  <w:style w:type="character" w:styleId="a7">
    <w:name w:val="Hyperlink"/>
    <w:uiPriority w:val="99"/>
    <w:qFormat/>
    <w:rsid w:val="00E73DBA"/>
    <w:rPr>
      <w:rFonts w:ascii="ˎ̥" w:hAnsi="ˎ̥" w:hint="default"/>
      <w:color w:val="0404B3"/>
      <w:sz w:val="18"/>
      <w:szCs w:val="18"/>
      <w:u w:val="none"/>
    </w:rPr>
  </w:style>
  <w:style w:type="character" w:customStyle="1" w:styleId="Char">
    <w:name w:val="页脚 Char"/>
    <w:link w:val="a4"/>
    <w:uiPriority w:val="99"/>
    <w:qFormat/>
    <w:rsid w:val="00E73DBA"/>
    <w:rPr>
      <w:sz w:val="18"/>
      <w:szCs w:val="18"/>
    </w:rPr>
  </w:style>
  <w:style w:type="character" w:customStyle="1" w:styleId="Char0">
    <w:name w:val="页眉 Char"/>
    <w:link w:val="a5"/>
    <w:uiPriority w:val="99"/>
    <w:qFormat/>
    <w:rsid w:val="00E73DB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289</Words>
  <Characters>1651</Characters>
  <Application>Microsoft Office Word</Application>
  <DocSecurity>0</DocSecurity>
  <Lines>13</Lines>
  <Paragraphs>3</Paragraphs>
  <ScaleCrop>false</ScaleCrop>
  <Company>Microsoft</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2025-08-04T04:50:00Z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